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EE28E" w14:textId="1D851E03" w:rsidR="00E63DBB" w:rsidRPr="001D7009" w:rsidRDefault="00484EEE" w:rsidP="00484EEE">
      <w:pPr>
        <w:jc w:val="center"/>
        <w:rPr>
          <w:b/>
          <w:sz w:val="24"/>
        </w:rPr>
      </w:pPr>
      <w:r w:rsidRPr="001D7009">
        <w:rPr>
          <w:b/>
          <w:sz w:val="24"/>
        </w:rPr>
        <w:t xml:space="preserve">2018 </w:t>
      </w:r>
      <w:r w:rsidR="00162CD1" w:rsidRPr="001D7009">
        <w:rPr>
          <w:b/>
          <w:sz w:val="24"/>
        </w:rPr>
        <w:t xml:space="preserve">CoC </w:t>
      </w:r>
      <w:r w:rsidR="00032618">
        <w:rPr>
          <w:b/>
          <w:sz w:val="24"/>
        </w:rPr>
        <w:t>Project Scoring Tool R</w:t>
      </w:r>
      <w:bookmarkStart w:id="0" w:name="_GoBack"/>
      <w:bookmarkEnd w:id="0"/>
      <w:r w:rsidRPr="001D7009">
        <w:rPr>
          <w:b/>
          <w:sz w:val="24"/>
        </w:rPr>
        <w:t>ecommendations</w:t>
      </w:r>
    </w:p>
    <w:p w14:paraId="23262B9E" w14:textId="4E3BF702" w:rsidR="00484EEE" w:rsidRDefault="00484EEE" w:rsidP="00484EEE">
      <w:r w:rsidRPr="0027351B">
        <w:rPr>
          <w:u w:val="single"/>
        </w:rPr>
        <w:t>General</w:t>
      </w:r>
      <w:r>
        <w:t>:</w:t>
      </w:r>
    </w:p>
    <w:p w14:paraId="0A641190" w14:textId="44286028" w:rsidR="00484EEE" w:rsidRDefault="001D7009" w:rsidP="00484EEE">
      <w:pPr>
        <w:pStyle w:val="ListParagraph"/>
        <w:numPr>
          <w:ilvl w:val="0"/>
          <w:numId w:val="2"/>
        </w:numPr>
      </w:pPr>
      <w:r>
        <w:t>ESG and HUD (</w:t>
      </w:r>
      <w:r w:rsidR="00484EEE">
        <w:t>CoC</w:t>
      </w:r>
      <w:r>
        <w:t>)</w:t>
      </w:r>
      <w:r w:rsidR="00484EEE">
        <w:t xml:space="preserve"> </w:t>
      </w:r>
      <w:r>
        <w:t xml:space="preserve">programs will </w:t>
      </w:r>
      <w:r w:rsidR="00484EEE">
        <w:t>have separate scoring tools</w:t>
      </w:r>
    </w:p>
    <w:p w14:paraId="3C026787" w14:textId="492F1607" w:rsidR="00484EEE" w:rsidRDefault="00484EEE" w:rsidP="00484EEE">
      <w:pPr>
        <w:pStyle w:val="ListParagraph"/>
        <w:numPr>
          <w:ilvl w:val="1"/>
          <w:numId w:val="2"/>
        </w:numPr>
      </w:pPr>
      <w:r>
        <w:t xml:space="preserve">ESG does not </w:t>
      </w:r>
      <w:r w:rsidR="001D7009">
        <w:t>require</w:t>
      </w:r>
      <w:r>
        <w:t xml:space="preserve"> </w:t>
      </w:r>
      <w:r w:rsidR="001D7009">
        <w:t xml:space="preserve">a </w:t>
      </w:r>
      <w:r>
        <w:t xml:space="preserve">numeric score </w:t>
      </w:r>
      <w:r w:rsidR="001D7009">
        <w:t>and/</w:t>
      </w:r>
      <w:r>
        <w:t>or ranking</w:t>
      </w:r>
      <w:r w:rsidR="001D7009">
        <w:t xml:space="preserve"> as</w:t>
      </w:r>
      <w:r>
        <w:t xml:space="preserve"> HUD </w:t>
      </w:r>
      <w:r w:rsidR="001D7009">
        <w:t>(</w:t>
      </w:r>
      <w:r>
        <w:t>CoC</w:t>
      </w:r>
      <w:r w:rsidR="001D7009">
        <w:t>)</w:t>
      </w:r>
      <w:r>
        <w:t xml:space="preserve"> projects </w:t>
      </w:r>
      <w:r w:rsidR="001D7009">
        <w:t>do</w:t>
      </w:r>
    </w:p>
    <w:p w14:paraId="434A71F2" w14:textId="6C2AD14D" w:rsidR="00484EEE" w:rsidRDefault="00484EEE" w:rsidP="00484EEE">
      <w:pPr>
        <w:pStyle w:val="ListParagraph"/>
        <w:numPr>
          <w:ilvl w:val="1"/>
          <w:numId w:val="2"/>
        </w:numPr>
      </w:pPr>
      <w:r>
        <w:t xml:space="preserve">Not all HUD </w:t>
      </w:r>
      <w:r w:rsidR="001D7009">
        <w:t>(</w:t>
      </w:r>
      <w:r>
        <w:t>CoC</w:t>
      </w:r>
      <w:r w:rsidR="001D7009">
        <w:t>) metrics apply to ESG</w:t>
      </w:r>
      <w:r>
        <w:t xml:space="preserve"> shelter, homeless prevention, </w:t>
      </w:r>
      <w:r w:rsidR="001D7009">
        <w:t>and street outreach programs</w:t>
      </w:r>
    </w:p>
    <w:p w14:paraId="1A022AD5" w14:textId="77777777" w:rsidR="00484EEE" w:rsidRDefault="00484EEE" w:rsidP="00484EEE">
      <w:pPr>
        <w:pStyle w:val="ListParagraph"/>
      </w:pPr>
    </w:p>
    <w:p w14:paraId="0ED0971B" w14:textId="1A192CE4" w:rsidR="00AC6859" w:rsidRPr="00AA50AC" w:rsidRDefault="00484EEE" w:rsidP="00BB16DF">
      <w:pPr>
        <w:pStyle w:val="ListParagraph"/>
        <w:numPr>
          <w:ilvl w:val="0"/>
          <w:numId w:val="2"/>
        </w:numPr>
      </w:pPr>
      <w:proofErr w:type="gramStart"/>
      <w:r w:rsidRPr="00AA50AC">
        <w:t>Time period</w:t>
      </w:r>
      <w:proofErr w:type="gramEnd"/>
      <w:r w:rsidRPr="00AA50AC">
        <w:t xml:space="preserve"> for </w:t>
      </w:r>
      <w:r w:rsidR="00AF0DC6" w:rsidRPr="00AA50AC">
        <w:t xml:space="preserve">data used for </w:t>
      </w:r>
      <w:r w:rsidRPr="00AA50AC">
        <w:t xml:space="preserve">scoring will be January 1, 2017 – December 31, 2017 for HUD </w:t>
      </w:r>
      <w:r w:rsidR="001D7009" w:rsidRPr="00AA50AC">
        <w:t>(</w:t>
      </w:r>
      <w:r w:rsidRPr="00AA50AC">
        <w:t>CoC</w:t>
      </w:r>
      <w:r w:rsidR="001D7009" w:rsidRPr="00AA50AC">
        <w:t>)</w:t>
      </w:r>
      <w:r w:rsidRPr="00AA50AC">
        <w:t xml:space="preserve"> projects active during the entire period. </w:t>
      </w:r>
      <w:r w:rsidR="00AC6859" w:rsidRPr="00AA50AC">
        <w:t xml:space="preserve">Data will be pulled </w:t>
      </w:r>
      <w:r w:rsidR="00463021" w:rsidRPr="00AA50AC">
        <w:t xml:space="preserve">from HMIS </w:t>
      </w:r>
      <w:r w:rsidR="00AC6859" w:rsidRPr="00AA50AC">
        <w:t>for the renewal p</w:t>
      </w:r>
      <w:r w:rsidR="00463021" w:rsidRPr="00AA50AC">
        <w:t xml:space="preserve">rojects operating a full year as </w:t>
      </w:r>
      <w:r w:rsidR="00AA50AC" w:rsidRPr="00AA50AC">
        <w:t>of</w:t>
      </w:r>
      <w:r w:rsidR="00AC6859" w:rsidRPr="00AA50AC">
        <w:t xml:space="preserve"> March </w:t>
      </w:r>
      <w:r w:rsidR="00AA50AC" w:rsidRPr="00AA50AC">
        <w:t>15</w:t>
      </w:r>
      <w:r w:rsidR="00AC6859" w:rsidRPr="00AA50AC">
        <w:t>, 2018.</w:t>
      </w:r>
      <w:r w:rsidRPr="00AA50AC">
        <w:t xml:space="preserve"> </w:t>
      </w:r>
    </w:p>
    <w:p w14:paraId="38E51BE1" w14:textId="77777777" w:rsidR="00AC6859" w:rsidRDefault="00AC6859" w:rsidP="00AC6859">
      <w:pPr>
        <w:pStyle w:val="ListParagraph"/>
      </w:pPr>
    </w:p>
    <w:p w14:paraId="745E054C" w14:textId="040C528F" w:rsidR="0016202B" w:rsidRPr="00AA50AC" w:rsidRDefault="00484EEE" w:rsidP="00BB16DF">
      <w:pPr>
        <w:pStyle w:val="ListParagraph"/>
        <w:numPr>
          <w:ilvl w:val="0"/>
          <w:numId w:val="2"/>
        </w:numPr>
      </w:pPr>
      <w:r w:rsidRPr="006F4467">
        <w:t>New projects which began in 2017</w:t>
      </w:r>
      <w:r w:rsidR="00AF0DC6" w:rsidRPr="006F4467">
        <w:t xml:space="preserve"> (and have incomplete data for parts of 2017)</w:t>
      </w:r>
      <w:r w:rsidRPr="006F4467">
        <w:t xml:space="preserve"> will </w:t>
      </w:r>
      <w:r w:rsidR="001D7009">
        <w:t xml:space="preserve">be placed as a group </w:t>
      </w:r>
      <w:r w:rsidR="00AF0DC6" w:rsidRPr="006F4467">
        <w:t>towards the bottom of Tier 1</w:t>
      </w:r>
      <w:r w:rsidR="001D7009">
        <w:t xml:space="preserve">.  </w:t>
      </w:r>
      <w:r w:rsidR="00EC77F1">
        <w:t>Also, these projects will receive a score of 3 (out of 5) for any measure where there is incomplete data (i.e. utilization)</w:t>
      </w:r>
      <w:r w:rsidR="004D0FEE">
        <w:t xml:space="preserve">.  </w:t>
      </w:r>
      <w:r w:rsidR="001D7009">
        <w:t xml:space="preserve">This is a change from 2017, where </w:t>
      </w:r>
      <w:r w:rsidR="00AF0DC6" w:rsidRPr="006F4467">
        <w:t xml:space="preserve">full points </w:t>
      </w:r>
      <w:r w:rsidR="001D7009">
        <w:t xml:space="preserve">were awarded to projects where data was </w:t>
      </w:r>
      <w:r w:rsidR="006F4467" w:rsidRPr="006F4467">
        <w:t>unavailable</w:t>
      </w:r>
      <w:r w:rsidR="001D7009">
        <w:t xml:space="preserve"> due to the project not starting, which caused </w:t>
      </w:r>
      <w:r w:rsidR="006F4467" w:rsidRPr="006F4467">
        <w:t>scores of these projects</w:t>
      </w:r>
      <w:r w:rsidR="001D7009">
        <w:t xml:space="preserve"> to be unfairly inflated</w:t>
      </w:r>
      <w:r w:rsidR="00AF0DC6" w:rsidRPr="006F4467">
        <w:t xml:space="preserve">. </w:t>
      </w:r>
      <w:r w:rsidR="00AA50AC" w:rsidRPr="00AA50AC">
        <w:t xml:space="preserve">The </w:t>
      </w:r>
      <w:proofErr w:type="gramStart"/>
      <w:r w:rsidR="00AA50AC" w:rsidRPr="00AA50AC">
        <w:t>t</w:t>
      </w:r>
      <w:r w:rsidR="00AC6859" w:rsidRPr="00AA50AC">
        <w:t>ime period</w:t>
      </w:r>
      <w:proofErr w:type="gramEnd"/>
      <w:r w:rsidR="00AC6859" w:rsidRPr="00AA50AC">
        <w:t xml:space="preserve"> for data used for scoring </w:t>
      </w:r>
      <w:r w:rsidR="00AA50AC" w:rsidRPr="00AA50AC">
        <w:t>new projects</w:t>
      </w:r>
      <w:r w:rsidR="00AC6859" w:rsidRPr="00AA50AC">
        <w:t xml:space="preserve"> funded under </w:t>
      </w:r>
      <w:r w:rsidR="00AA50AC" w:rsidRPr="00AA50AC">
        <w:t xml:space="preserve">the </w:t>
      </w:r>
      <w:r w:rsidR="00AC6859" w:rsidRPr="00AA50AC">
        <w:t xml:space="preserve">HUD 2016 application </w:t>
      </w:r>
      <w:r w:rsidR="00AA50AC" w:rsidRPr="00AA50AC">
        <w:t xml:space="preserve">process will be June 1, 2017 - </w:t>
      </w:r>
      <w:r w:rsidR="00AC6859" w:rsidRPr="00AA50AC">
        <w:t>March 30, 2018.</w:t>
      </w:r>
      <w:r w:rsidR="00AF0DC6" w:rsidRPr="00AA50AC">
        <w:t xml:space="preserve"> </w:t>
      </w:r>
    </w:p>
    <w:p w14:paraId="3DB4A29C" w14:textId="77777777" w:rsidR="00674C58" w:rsidRDefault="00674C58" w:rsidP="00674C58">
      <w:pPr>
        <w:pStyle w:val="ListParagraph"/>
      </w:pPr>
    </w:p>
    <w:p w14:paraId="55FE2992" w14:textId="77777777" w:rsidR="0016202B" w:rsidRDefault="0016202B" w:rsidP="0016202B">
      <w:pPr>
        <w:pStyle w:val="ListParagraph"/>
        <w:numPr>
          <w:ilvl w:val="0"/>
          <w:numId w:val="2"/>
        </w:numPr>
      </w:pPr>
      <w:r w:rsidRPr="0016202B">
        <w:t xml:space="preserve">Client </w:t>
      </w:r>
      <w:r>
        <w:t xml:space="preserve">satisfaction surveys, developed by the </w:t>
      </w:r>
      <w:proofErr w:type="spellStart"/>
      <w:r>
        <w:t>CoCAPC</w:t>
      </w:r>
      <w:proofErr w:type="spellEnd"/>
      <w:r>
        <w:t xml:space="preserve"> in 2017 will be piloted in 2018.  Client satisfaction survey data will not be used in 2018 project scoring, but </w:t>
      </w:r>
      <w:proofErr w:type="spellStart"/>
      <w:r>
        <w:t>CoCAPC</w:t>
      </w:r>
      <w:proofErr w:type="spellEnd"/>
      <w:r>
        <w:t xml:space="preserve"> hopes to incorporate this data in 2019 scoring.</w:t>
      </w:r>
    </w:p>
    <w:p w14:paraId="128DB4B6" w14:textId="77777777" w:rsidR="0016202B" w:rsidRDefault="0016202B" w:rsidP="0016202B">
      <w:pPr>
        <w:pStyle w:val="ListParagraph"/>
      </w:pPr>
    </w:p>
    <w:p w14:paraId="615A6875" w14:textId="6E160911" w:rsidR="0016202B" w:rsidRDefault="00A40A41" w:rsidP="00A40A41">
      <w:r w:rsidRPr="0027351B">
        <w:rPr>
          <w:u w:val="single"/>
        </w:rPr>
        <w:t xml:space="preserve">HUD </w:t>
      </w:r>
      <w:r w:rsidR="001D7009">
        <w:rPr>
          <w:u w:val="single"/>
        </w:rPr>
        <w:t>(</w:t>
      </w:r>
      <w:r w:rsidRPr="0027351B">
        <w:rPr>
          <w:u w:val="single"/>
        </w:rPr>
        <w:t>CoC</w:t>
      </w:r>
      <w:r w:rsidR="001D7009">
        <w:rPr>
          <w:u w:val="single"/>
        </w:rPr>
        <w:t>) Performance Measure</w:t>
      </w:r>
      <w:r w:rsidRPr="0027351B">
        <w:rPr>
          <w:u w:val="single"/>
        </w:rPr>
        <w:t xml:space="preserve"> Changes</w:t>
      </w:r>
      <w:r>
        <w:t>:</w:t>
      </w:r>
    </w:p>
    <w:p w14:paraId="5012CE2A" w14:textId="43954ADE" w:rsidR="00A40A41" w:rsidRDefault="00A40A41" w:rsidP="00A40A41">
      <w:pPr>
        <w:pStyle w:val="ListParagraph"/>
        <w:numPr>
          <w:ilvl w:val="0"/>
          <w:numId w:val="3"/>
        </w:numPr>
      </w:pPr>
      <w:r>
        <w:t>Adult consumers who increase or maintain income from all sources (CHANGE)</w:t>
      </w:r>
    </w:p>
    <w:p w14:paraId="516611DF" w14:textId="137E7C2E" w:rsidR="008A072C" w:rsidRDefault="008A072C" w:rsidP="008A072C">
      <w:pPr>
        <w:pStyle w:val="ListParagraph"/>
        <w:numPr>
          <w:ilvl w:val="1"/>
          <w:numId w:val="3"/>
        </w:numPr>
      </w:pPr>
      <w:r>
        <w:t>Modified metric to add “</w:t>
      </w:r>
      <w:r w:rsidR="004D0FEE">
        <w:t xml:space="preserve">or </w:t>
      </w:r>
      <w:r>
        <w:t>maintain” income based on feedback from 2017 and alignment with HUD’s scoring tool</w:t>
      </w:r>
    </w:p>
    <w:p w14:paraId="54D07646" w14:textId="77777777" w:rsidR="008A072C" w:rsidRDefault="008A072C" w:rsidP="008A072C">
      <w:pPr>
        <w:pStyle w:val="ListParagraph"/>
        <w:ind w:left="1440"/>
      </w:pPr>
    </w:p>
    <w:p w14:paraId="6B9E6E70" w14:textId="77777777" w:rsidR="008A072C" w:rsidRDefault="008A072C" w:rsidP="008A072C">
      <w:pPr>
        <w:pStyle w:val="ListParagraph"/>
        <w:numPr>
          <w:ilvl w:val="0"/>
          <w:numId w:val="3"/>
        </w:numPr>
      </w:pPr>
      <w:r>
        <w:t>Data quality – Timeliness (ADDITION)</w:t>
      </w:r>
    </w:p>
    <w:p w14:paraId="6839D58E" w14:textId="77777777" w:rsidR="008A072C" w:rsidRDefault="008A072C" w:rsidP="008A072C">
      <w:pPr>
        <w:pStyle w:val="ListParagraph"/>
        <w:numPr>
          <w:ilvl w:val="1"/>
          <w:numId w:val="3"/>
        </w:numPr>
      </w:pPr>
      <w:r>
        <w:t>Added data entry timeliness for entry and exit as a RRH metric</w:t>
      </w:r>
    </w:p>
    <w:p w14:paraId="2D6282EF" w14:textId="52CE5B88" w:rsidR="008A072C" w:rsidRDefault="008A072C" w:rsidP="008A072C">
      <w:pPr>
        <w:pStyle w:val="ListParagraph"/>
        <w:numPr>
          <w:ilvl w:val="1"/>
          <w:numId w:val="3"/>
        </w:numPr>
      </w:pPr>
      <w:r>
        <w:t>Added data entry timeliness for exits and annual assessments for PSH as a metric</w:t>
      </w:r>
    </w:p>
    <w:p w14:paraId="6E244392" w14:textId="77777777" w:rsidR="008A072C" w:rsidRDefault="008A072C" w:rsidP="008A072C">
      <w:pPr>
        <w:pStyle w:val="ListParagraph"/>
        <w:ind w:left="1440"/>
      </w:pPr>
    </w:p>
    <w:p w14:paraId="0EFA3CEA" w14:textId="2E46D085" w:rsidR="004036D6" w:rsidRDefault="004036D6" w:rsidP="008A072C">
      <w:pPr>
        <w:pStyle w:val="ListParagraph"/>
        <w:numPr>
          <w:ilvl w:val="0"/>
          <w:numId w:val="3"/>
        </w:numPr>
      </w:pPr>
      <w:r>
        <w:t>Data quality – Completeness (CHANGE)</w:t>
      </w:r>
    </w:p>
    <w:p w14:paraId="6DBA5CA6" w14:textId="44A5AF9E" w:rsidR="004036D6" w:rsidRDefault="004036D6" w:rsidP="004036D6">
      <w:pPr>
        <w:pStyle w:val="ListParagraph"/>
        <w:numPr>
          <w:ilvl w:val="1"/>
          <w:numId w:val="3"/>
        </w:numPr>
      </w:pPr>
      <w:r>
        <w:t>PSH and RRH - Point value will change from 15 to 5 points in 2018</w:t>
      </w:r>
    </w:p>
    <w:p w14:paraId="234F0782" w14:textId="52B8F88B" w:rsidR="00FA7175" w:rsidRDefault="00FA7175" w:rsidP="004036D6">
      <w:pPr>
        <w:pStyle w:val="ListParagraph"/>
        <w:numPr>
          <w:ilvl w:val="1"/>
          <w:numId w:val="3"/>
        </w:numPr>
      </w:pPr>
      <w:r>
        <w:t>Measures will reflect APR Data Quality Questions</w:t>
      </w:r>
    </w:p>
    <w:p w14:paraId="433B91D4" w14:textId="77777777" w:rsidR="004036D6" w:rsidRDefault="004036D6" w:rsidP="004036D6">
      <w:pPr>
        <w:pStyle w:val="ListParagraph"/>
        <w:ind w:left="1440"/>
      </w:pPr>
    </w:p>
    <w:p w14:paraId="5379BC41" w14:textId="5E3AC090" w:rsidR="008A072C" w:rsidRDefault="008A072C" w:rsidP="008A072C">
      <w:pPr>
        <w:pStyle w:val="ListParagraph"/>
        <w:numPr>
          <w:ilvl w:val="0"/>
          <w:numId w:val="3"/>
        </w:numPr>
      </w:pPr>
      <w:r>
        <w:t>Cost effectiveness</w:t>
      </w:r>
      <w:r w:rsidR="00E9713B">
        <w:t xml:space="preserve"> (CHANGE)</w:t>
      </w:r>
    </w:p>
    <w:p w14:paraId="52684834" w14:textId="0089164B" w:rsidR="00E9713B" w:rsidRDefault="00055EB8" w:rsidP="00E9713B">
      <w:pPr>
        <w:pStyle w:val="ListParagraph"/>
        <w:numPr>
          <w:ilvl w:val="1"/>
          <w:numId w:val="3"/>
        </w:numPr>
      </w:pPr>
      <w:r>
        <w:t>Cost per successful outcome will remain, but cost per unit will be removed.  Scoring results for these two metrics were almost identical in 2017</w:t>
      </w:r>
      <w:r w:rsidR="004D0FEE">
        <w:t xml:space="preserve"> for both RRH and PSH</w:t>
      </w:r>
      <w:r>
        <w:t xml:space="preserve">.  </w:t>
      </w:r>
    </w:p>
    <w:p w14:paraId="797909C1" w14:textId="77777777" w:rsidR="000566CE" w:rsidRDefault="000566CE" w:rsidP="00055EB8">
      <w:pPr>
        <w:pStyle w:val="ListParagraph"/>
        <w:ind w:left="1440"/>
      </w:pPr>
    </w:p>
    <w:p w14:paraId="3CB3DE83" w14:textId="12CC5E20" w:rsidR="00055EB8" w:rsidRDefault="00055EB8" w:rsidP="00055EB8">
      <w:pPr>
        <w:pStyle w:val="ListParagraph"/>
        <w:numPr>
          <w:ilvl w:val="0"/>
          <w:numId w:val="3"/>
        </w:numPr>
      </w:pPr>
      <w:r>
        <w:t>Monitoring score</w:t>
      </w:r>
      <w:r w:rsidR="00434C31">
        <w:t xml:space="preserve"> – File completeness</w:t>
      </w:r>
      <w:r>
        <w:t xml:space="preserve"> (ADDITION)</w:t>
      </w:r>
    </w:p>
    <w:p w14:paraId="315ED1BA" w14:textId="5649A1AB" w:rsidR="00A40A41" w:rsidRDefault="00505A7A" w:rsidP="00505A7A">
      <w:pPr>
        <w:pStyle w:val="ListParagraph"/>
        <w:numPr>
          <w:ilvl w:val="1"/>
          <w:numId w:val="3"/>
        </w:numPr>
      </w:pPr>
      <w:r>
        <w:t xml:space="preserve">PSH and RRH - </w:t>
      </w:r>
      <w:r w:rsidR="00055EB8">
        <w:t>A case file review score, from DHS contrac</w:t>
      </w:r>
      <w:r w:rsidR="00AA50AC">
        <w:t>t monitors, will be included.</w:t>
      </w:r>
    </w:p>
    <w:p w14:paraId="13A259A6" w14:textId="1A22DD92" w:rsidR="00AC6859" w:rsidRPr="00AA50AC" w:rsidRDefault="00AC6859" w:rsidP="00505A7A">
      <w:pPr>
        <w:pStyle w:val="ListParagraph"/>
        <w:numPr>
          <w:ilvl w:val="1"/>
          <w:numId w:val="3"/>
        </w:numPr>
      </w:pPr>
      <w:r w:rsidRPr="00AA50AC">
        <w:lastRenderedPageBreak/>
        <w:t>Score</w:t>
      </w:r>
      <w:r w:rsidR="00AA50AC" w:rsidRPr="00AA50AC">
        <w:t>s</w:t>
      </w:r>
      <w:r w:rsidRPr="00AA50AC">
        <w:t xml:space="preserve"> will be generated from the 2017 Monitoring Visit Monitoring Letter. (A tool has been reviewed and accepted by t</w:t>
      </w:r>
      <w:r w:rsidR="00AA50AC">
        <w:t xml:space="preserve">he subcommittee at the January 2018 subcommittee </w:t>
      </w:r>
      <w:r w:rsidRPr="00AA50AC">
        <w:t>meeting.)</w:t>
      </w:r>
    </w:p>
    <w:p w14:paraId="62448807" w14:textId="77777777" w:rsidR="00505A7A" w:rsidRDefault="00505A7A" w:rsidP="00505A7A">
      <w:pPr>
        <w:pStyle w:val="ListParagraph"/>
        <w:ind w:left="1440"/>
      </w:pPr>
    </w:p>
    <w:p w14:paraId="6D5D2DD6" w14:textId="6B47E39C" w:rsidR="00505A7A" w:rsidRDefault="00505A7A" w:rsidP="00505A7A">
      <w:pPr>
        <w:pStyle w:val="ListParagraph"/>
        <w:numPr>
          <w:ilvl w:val="0"/>
          <w:numId w:val="3"/>
        </w:numPr>
      </w:pPr>
      <w:r>
        <w:t>Monitoring score – Program serving appropriate clients (ADDITION)</w:t>
      </w:r>
    </w:p>
    <w:p w14:paraId="18FFD03D" w14:textId="77777777" w:rsidR="0027351B" w:rsidRDefault="00505A7A" w:rsidP="0027351B">
      <w:pPr>
        <w:pStyle w:val="ListParagraph"/>
        <w:numPr>
          <w:ilvl w:val="0"/>
          <w:numId w:val="6"/>
        </w:numPr>
      </w:pPr>
      <w:r>
        <w:t>PSH – DHS data monitor score, indicating how successful program is in serving the target clients identified in project proposal (i.e. chronically homeless), will be included in 2018.</w:t>
      </w:r>
    </w:p>
    <w:p w14:paraId="5D182D82" w14:textId="77777777" w:rsidR="0027351B" w:rsidRDefault="0027351B" w:rsidP="004036D6">
      <w:pPr>
        <w:pStyle w:val="ListParagraph"/>
        <w:ind w:left="1440"/>
      </w:pPr>
    </w:p>
    <w:p w14:paraId="2F2A39C8" w14:textId="23AE24DF" w:rsidR="00505A7A" w:rsidRDefault="0027351B" w:rsidP="0027351B">
      <w:pPr>
        <w:pStyle w:val="ListParagraph"/>
        <w:numPr>
          <w:ilvl w:val="0"/>
          <w:numId w:val="3"/>
        </w:numPr>
      </w:pPr>
      <w:r>
        <w:t>Length of Time in Program (SUBTRACTION for PSH / CHANGE for RRH)</w:t>
      </w:r>
    </w:p>
    <w:p w14:paraId="18381F80" w14:textId="0E07F58A" w:rsidR="0027351B" w:rsidRDefault="0027351B" w:rsidP="0027351B">
      <w:pPr>
        <w:pStyle w:val="ListParagraph"/>
        <w:numPr>
          <w:ilvl w:val="1"/>
          <w:numId w:val="3"/>
        </w:numPr>
      </w:pPr>
      <w:r>
        <w:t>PSH – this metric will not be used anymore as staying in a PSH program is a success and there is no target length of stay</w:t>
      </w:r>
    </w:p>
    <w:p w14:paraId="62637590" w14:textId="6A8ED4E1" w:rsidR="0027351B" w:rsidRDefault="0027351B" w:rsidP="0027351B">
      <w:pPr>
        <w:pStyle w:val="ListParagraph"/>
        <w:numPr>
          <w:ilvl w:val="1"/>
          <w:numId w:val="3"/>
        </w:numPr>
      </w:pPr>
      <w:r>
        <w:t>RRH – this metric will remain, but will now be worth 10 points instead of 5 points as it was in 2017.</w:t>
      </w:r>
    </w:p>
    <w:p w14:paraId="0489A458" w14:textId="77777777" w:rsidR="0027351B" w:rsidRDefault="0027351B" w:rsidP="0027351B">
      <w:pPr>
        <w:pStyle w:val="ListParagraph"/>
        <w:ind w:left="1440"/>
      </w:pPr>
    </w:p>
    <w:p w14:paraId="665512CA" w14:textId="77777777" w:rsidR="0027351B" w:rsidRPr="00674C58" w:rsidRDefault="0027351B" w:rsidP="0027351B">
      <w:pPr>
        <w:pStyle w:val="ListParagraph"/>
        <w:numPr>
          <w:ilvl w:val="0"/>
          <w:numId w:val="3"/>
        </w:numPr>
      </w:pPr>
      <w:r w:rsidRPr="00674C58">
        <w:t>Housing Performance (CHANGE)</w:t>
      </w:r>
    </w:p>
    <w:p w14:paraId="16AF6071" w14:textId="74706020" w:rsidR="0027351B" w:rsidRDefault="0027351B" w:rsidP="0027351B">
      <w:pPr>
        <w:pStyle w:val="ListParagraph"/>
        <w:numPr>
          <w:ilvl w:val="1"/>
          <w:numId w:val="3"/>
        </w:numPr>
      </w:pPr>
      <w:r w:rsidRPr="00674C58">
        <w:t xml:space="preserve">PSH – will change from </w:t>
      </w:r>
      <w:r w:rsidR="00674C58" w:rsidRPr="00674C58">
        <w:t>15 to 2</w:t>
      </w:r>
      <w:r w:rsidRPr="00674C58">
        <w:t>0 points in 2018.</w:t>
      </w:r>
    </w:p>
    <w:p w14:paraId="1624A2E0" w14:textId="06F02EF5" w:rsidR="004D0FEE" w:rsidRPr="00674C58" w:rsidRDefault="004D0FEE" w:rsidP="0027351B">
      <w:pPr>
        <w:pStyle w:val="ListParagraph"/>
        <w:numPr>
          <w:ilvl w:val="1"/>
          <w:numId w:val="3"/>
        </w:numPr>
      </w:pPr>
      <w:r>
        <w:t>RRH – will remain 15 total points in 2018</w:t>
      </w:r>
    </w:p>
    <w:p w14:paraId="208A74B7" w14:textId="24C9569F" w:rsidR="0027351B" w:rsidRDefault="0027351B" w:rsidP="0027351B">
      <w:pPr>
        <w:pStyle w:val="ListParagraph"/>
      </w:pPr>
    </w:p>
    <w:p w14:paraId="39571E5B" w14:textId="3304255F" w:rsidR="0027351B" w:rsidRPr="00674C58" w:rsidRDefault="0027351B" w:rsidP="0027351B">
      <w:pPr>
        <w:pStyle w:val="ListParagraph"/>
        <w:numPr>
          <w:ilvl w:val="0"/>
          <w:numId w:val="3"/>
        </w:numPr>
      </w:pPr>
      <w:r>
        <w:t xml:space="preserve"> </w:t>
      </w:r>
      <w:r w:rsidR="004036D6" w:rsidRPr="00674C58">
        <w:t>Length of Time from Program Enrollment to Move in (ADDITION)</w:t>
      </w:r>
    </w:p>
    <w:p w14:paraId="411A6FF9" w14:textId="4FB9A75D" w:rsidR="004036D6" w:rsidRPr="00674C58" w:rsidRDefault="004036D6" w:rsidP="004036D6">
      <w:pPr>
        <w:pStyle w:val="ListParagraph"/>
        <w:numPr>
          <w:ilvl w:val="1"/>
          <w:numId w:val="3"/>
        </w:numPr>
      </w:pPr>
      <w:r w:rsidRPr="00674C58">
        <w:t>Th</w:t>
      </w:r>
      <w:r w:rsidR="00674C58" w:rsidRPr="00674C58">
        <w:t>is will be a new metric for</w:t>
      </w:r>
      <w:r w:rsidRPr="00674C58">
        <w:t xml:space="preserve"> RRH 2018.</w:t>
      </w:r>
      <w:r w:rsidR="00674C58" w:rsidRPr="00674C58">
        <w:t xml:space="preserve">  This metric will NOT be used for PSH in 2018 because the “Housing Move </w:t>
      </w:r>
      <w:proofErr w:type="gramStart"/>
      <w:r w:rsidR="00674C58" w:rsidRPr="00674C58">
        <w:t>In</w:t>
      </w:r>
      <w:proofErr w:type="gramEnd"/>
      <w:r w:rsidR="00674C58" w:rsidRPr="00674C58">
        <w:t xml:space="preserve"> Date” field used to calculate this measure became required for PSH programs only from 10/1/17 onward, and historical values for PSH clients already enrolled were auto-mapped to be the same as the client’s project enrollment date.</w:t>
      </w:r>
    </w:p>
    <w:p w14:paraId="1940B94B" w14:textId="303A82CA" w:rsidR="00D6283C" w:rsidRDefault="00D6283C" w:rsidP="004036D6">
      <w:r w:rsidRPr="00D6283C">
        <w:rPr>
          <w:u w:val="single"/>
        </w:rPr>
        <w:t>Scoring Point Value Changes, 2017 vs 2018</w:t>
      </w:r>
      <w:r w:rsidR="00216541">
        <w:t>:</w:t>
      </w:r>
    </w:p>
    <w:tbl>
      <w:tblPr>
        <w:tblW w:w="9805" w:type="dxa"/>
        <w:tblLook w:val="04A0" w:firstRow="1" w:lastRow="0" w:firstColumn="1" w:lastColumn="0" w:noHBand="0" w:noVBand="1"/>
      </w:tblPr>
      <w:tblGrid>
        <w:gridCol w:w="5575"/>
        <w:gridCol w:w="1440"/>
        <w:gridCol w:w="1440"/>
        <w:gridCol w:w="1350"/>
      </w:tblGrid>
      <w:tr w:rsidR="00216541" w:rsidRPr="00D6283C" w14:paraId="1DCAA893" w14:textId="77777777" w:rsidTr="00216541">
        <w:trPr>
          <w:trHeight w:val="273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619E" w14:textId="77777777" w:rsidR="00D6283C" w:rsidRPr="00D6283C" w:rsidRDefault="00D6283C" w:rsidP="00D62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</w:pPr>
            <w:r w:rsidRPr="00D628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>Measure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F2CBE3E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</w:pPr>
            <w:proofErr w:type="gramStart"/>
            <w:r w:rsidRPr="00D628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>2017 point</w:t>
            </w:r>
            <w:proofErr w:type="gramEnd"/>
            <w:r w:rsidRPr="00D628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 xml:space="preserve"> value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28B342E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</w:pPr>
            <w:r w:rsidRPr="00D628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 xml:space="preserve">CoC RRH </w:t>
            </w:r>
            <w:proofErr w:type="gramStart"/>
            <w:r w:rsidRPr="00D628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>2018 point</w:t>
            </w:r>
            <w:proofErr w:type="gramEnd"/>
            <w:r w:rsidRPr="00D628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 xml:space="preserve"> value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15D9284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</w:pPr>
            <w:r w:rsidRPr="00D628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 xml:space="preserve">CoC PSH </w:t>
            </w:r>
            <w:proofErr w:type="gramStart"/>
            <w:r w:rsidRPr="00D628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>2018 point</w:t>
            </w:r>
            <w:proofErr w:type="gramEnd"/>
            <w:r w:rsidRPr="00D628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 xml:space="preserve"> value</w:t>
            </w:r>
          </w:p>
        </w:tc>
      </w:tr>
      <w:tr w:rsidR="00216541" w:rsidRPr="00D6283C" w14:paraId="71654F41" w14:textId="77777777" w:rsidTr="00216541">
        <w:trPr>
          <w:trHeight w:val="26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C1FC" w14:textId="77777777" w:rsidR="00D6283C" w:rsidRPr="00D6283C" w:rsidRDefault="00D6283C" w:rsidP="00D6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Unit utilization (Jan, April, July, Oct.)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86B84F5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D8B5D9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7C52690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</w:tr>
      <w:tr w:rsidR="00216541" w:rsidRPr="00D6283C" w14:paraId="1AEC3E75" w14:textId="77777777" w:rsidTr="00216541">
        <w:trPr>
          <w:trHeight w:val="26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74DC" w14:textId="77777777" w:rsidR="00D6283C" w:rsidRPr="00D6283C" w:rsidRDefault="00D6283C" w:rsidP="00D6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Housing performance (exit destinations)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7F60CB1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551A3F0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80B0C86" w14:textId="36549107" w:rsidR="00D6283C" w:rsidRPr="00D6283C" w:rsidRDefault="000566CE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74C58">
              <w:rPr>
                <w:rFonts w:ascii="Calibri" w:eastAsia="Times New Roman" w:hAnsi="Calibri" w:cs="Calibri"/>
                <w:sz w:val="18"/>
              </w:rPr>
              <w:t>20</w:t>
            </w:r>
          </w:p>
        </w:tc>
      </w:tr>
      <w:tr w:rsidR="00216541" w:rsidRPr="00D6283C" w14:paraId="33EC8A33" w14:textId="77777777" w:rsidTr="00216541">
        <w:trPr>
          <w:trHeight w:val="26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D6CF" w14:textId="77777777" w:rsidR="00D6283C" w:rsidRPr="00D6283C" w:rsidRDefault="00D6283C" w:rsidP="00D6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Income/Employment/Health Insurance/Benefits (increase or maintain)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451A7E7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BA3278E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D3135E0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</w:tr>
      <w:tr w:rsidR="00216541" w:rsidRPr="00D6283C" w14:paraId="5CF72079" w14:textId="77777777" w:rsidTr="00216541">
        <w:trPr>
          <w:trHeight w:val="26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865F" w14:textId="20566BEF" w:rsidR="00D6283C" w:rsidRPr="00D6283C" w:rsidRDefault="00D6283C" w:rsidP="00D6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Length of Time in Prog</w:t>
            </w:r>
            <w:r w:rsidR="00674C58">
              <w:rPr>
                <w:rFonts w:ascii="Calibri" w:eastAsia="Times New Roman" w:hAnsi="Calibri" w:cs="Calibri"/>
                <w:color w:val="000000"/>
                <w:sz w:val="18"/>
              </w:rPr>
              <w:t>r</w:t>
            </w: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4F594B2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C56549E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6F91713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0</w:t>
            </w:r>
          </w:p>
        </w:tc>
      </w:tr>
      <w:tr w:rsidR="00216541" w:rsidRPr="00D6283C" w14:paraId="252C8C84" w14:textId="77777777" w:rsidTr="00216541">
        <w:trPr>
          <w:trHeight w:val="26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A35E" w14:textId="7231B5AB" w:rsidR="00D6283C" w:rsidRPr="00D6283C" w:rsidRDefault="00D6283C" w:rsidP="00D6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Recidivism (exit to perm dest</w:t>
            </w:r>
            <w:r w:rsidR="00674C58">
              <w:rPr>
                <w:rFonts w:ascii="Calibri" w:eastAsia="Times New Roman" w:hAnsi="Calibri" w:cs="Calibri"/>
                <w:color w:val="000000"/>
                <w:sz w:val="18"/>
              </w:rPr>
              <w:t>ination</w:t>
            </w: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, return w/in 6 mo</w:t>
            </w:r>
            <w:r w:rsidR="00674C58">
              <w:rPr>
                <w:rFonts w:ascii="Calibri" w:eastAsia="Times New Roman" w:hAnsi="Calibri" w:cs="Calibri"/>
                <w:color w:val="000000"/>
                <w:sz w:val="18"/>
              </w:rPr>
              <w:t>nths</w:t>
            </w: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07905B8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DDD4301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C604B10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</w:tr>
      <w:tr w:rsidR="00216541" w:rsidRPr="00D6283C" w14:paraId="42F8334D" w14:textId="77777777" w:rsidTr="00216541">
        <w:trPr>
          <w:trHeight w:val="26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66A" w14:textId="77777777" w:rsidR="00D6283C" w:rsidRPr="00D6283C" w:rsidRDefault="00D6283C" w:rsidP="00D6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Data Quality (Completeness)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C0CEC4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CC9225F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B38894C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</w:tr>
      <w:tr w:rsidR="00216541" w:rsidRPr="00D6283C" w14:paraId="4702CBB5" w14:textId="77777777" w:rsidTr="00216541">
        <w:trPr>
          <w:trHeight w:val="26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F334" w14:textId="22DCAA40" w:rsidR="00D6283C" w:rsidRPr="00D6283C" w:rsidRDefault="00D6283C" w:rsidP="00D6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Data Quality</w:t>
            </w:r>
            <w:r w:rsidR="00216541">
              <w:rPr>
                <w:rFonts w:ascii="Calibri" w:eastAsia="Times New Roman" w:hAnsi="Calibri" w:cs="Calibri"/>
                <w:color w:val="000000"/>
                <w:sz w:val="18"/>
              </w:rPr>
              <w:t xml:space="preserve"> (Timeliness Entry/Exit)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282F0BF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45ACDF1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A9B6872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0</w:t>
            </w:r>
          </w:p>
        </w:tc>
      </w:tr>
      <w:tr w:rsidR="00216541" w:rsidRPr="00D6283C" w14:paraId="5DAEB1A3" w14:textId="77777777" w:rsidTr="00216541">
        <w:trPr>
          <w:trHeight w:val="26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C6FA" w14:textId="4EB94C30" w:rsidR="00D6283C" w:rsidRPr="00D6283C" w:rsidRDefault="00D6283C" w:rsidP="00D6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Data Quality (T</w:t>
            </w:r>
            <w:r w:rsidR="00216541">
              <w:rPr>
                <w:rFonts w:ascii="Calibri" w:eastAsia="Times New Roman" w:hAnsi="Calibri" w:cs="Calibri"/>
                <w:color w:val="000000"/>
                <w:sz w:val="18"/>
              </w:rPr>
              <w:t>imeliness exits/Annuals)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FD75810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35A1F39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6CBD80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10</w:t>
            </w:r>
          </w:p>
        </w:tc>
      </w:tr>
      <w:tr w:rsidR="00216541" w:rsidRPr="00D6283C" w14:paraId="240D1240" w14:textId="77777777" w:rsidTr="00216541">
        <w:trPr>
          <w:trHeight w:val="26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A7C3" w14:textId="77777777" w:rsidR="00D6283C" w:rsidRPr="00D6283C" w:rsidRDefault="00D6283C" w:rsidP="00D6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Fiscal (expended all funds; accuracy of billings)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EDACBF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108EB1C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E307533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10</w:t>
            </w:r>
          </w:p>
        </w:tc>
      </w:tr>
      <w:tr w:rsidR="00216541" w:rsidRPr="00D6283C" w14:paraId="041C1AD3" w14:textId="77777777" w:rsidTr="00216541">
        <w:trPr>
          <w:trHeight w:val="26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EA4F" w14:textId="0F76F032" w:rsidR="00D6283C" w:rsidRPr="00D6283C" w:rsidRDefault="00D6283C" w:rsidP="00D6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Cost effectiveness (</w:t>
            </w:r>
            <w:r w:rsidR="00FE7EB4">
              <w:rPr>
                <w:rFonts w:ascii="Calibri" w:eastAsia="Times New Roman" w:hAnsi="Calibri" w:cs="Calibri"/>
                <w:color w:val="000000"/>
                <w:sz w:val="18"/>
              </w:rPr>
              <w:t xml:space="preserve">Cost </w:t>
            </w: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per unit)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7069000" w14:textId="741744F7" w:rsidR="00D6283C" w:rsidRPr="00D6283C" w:rsidRDefault="00FE7EB4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CF056D" w14:textId="73EDAF8B" w:rsidR="00D6283C" w:rsidRPr="00D6283C" w:rsidRDefault="00FE7EB4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E0FEDA1" w14:textId="0A344CF3" w:rsidR="00D6283C" w:rsidRPr="00D6283C" w:rsidRDefault="00FE7EB4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0</w:t>
            </w:r>
          </w:p>
        </w:tc>
      </w:tr>
      <w:tr w:rsidR="00FE7EB4" w:rsidRPr="00D6283C" w14:paraId="7222BAF8" w14:textId="77777777" w:rsidTr="00216541">
        <w:trPr>
          <w:trHeight w:val="26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CC13" w14:textId="563D8AB8" w:rsidR="00FE7EB4" w:rsidRPr="00D6283C" w:rsidRDefault="00FE7EB4" w:rsidP="00D6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Cost effectiveness (Cost per successful outcome)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259BCAEC" w14:textId="1378CDC3" w:rsidR="00FE7EB4" w:rsidRPr="00D6283C" w:rsidRDefault="00FE7EB4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4C4874A" w14:textId="6D4352E9" w:rsidR="00FE7EB4" w:rsidRPr="00D6283C" w:rsidRDefault="00FE7EB4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2870DA1" w14:textId="4AD093CE" w:rsidR="00FE7EB4" w:rsidRPr="00D6283C" w:rsidRDefault="00FE7EB4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5</w:t>
            </w:r>
          </w:p>
        </w:tc>
      </w:tr>
      <w:tr w:rsidR="00216541" w:rsidRPr="00D6283C" w14:paraId="0895AC6C" w14:textId="77777777" w:rsidTr="00216541">
        <w:trPr>
          <w:trHeight w:val="26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C241" w14:textId="77777777" w:rsidR="00D6283C" w:rsidRPr="00D6283C" w:rsidRDefault="00D6283C" w:rsidP="00D6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Housing first monitoring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D521AE4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1DE9086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25B032D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5</w:t>
            </w:r>
          </w:p>
        </w:tc>
      </w:tr>
      <w:tr w:rsidR="00216541" w:rsidRPr="00D6283C" w14:paraId="69976913" w14:textId="77777777" w:rsidTr="00216541">
        <w:trPr>
          <w:trHeight w:val="26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51E5" w14:textId="6980E836" w:rsidR="00D6283C" w:rsidRPr="00D6283C" w:rsidRDefault="00D6283C" w:rsidP="00D6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 xml:space="preserve">Monitoring - file completeness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DC6B3E7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AF08C8B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94C925A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5</w:t>
            </w:r>
          </w:p>
        </w:tc>
      </w:tr>
      <w:tr w:rsidR="00216541" w:rsidRPr="00D6283C" w14:paraId="5B53250F" w14:textId="77777777" w:rsidTr="00216541">
        <w:trPr>
          <w:trHeight w:val="26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EAB2" w14:textId="42C12BBC" w:rsidR="00D6283C" w:rsidRPr="00D6283C" w:rsidRDefault="00D6283C" w:rsidP="00D6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 xml:space="preserve">Monitoring - program serving the right clients (chronic, </w:t>
            </w:r>
            <w:r w:rsidR="00216541">
              <w:rPr>
                <w:rFonts w:ascii="Calibri" w:eastAsia="Times New Roman" w:hAnsi="Calibri" w:cs="Calibri"/>
                <w:color w:val="000000"/>
                <w:sz w:val="18"/>
              </w:rPr>
              <w:t>etc.)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86A4FA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73DD78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04057B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bCs/>
                <w:iCs/>
                <w:color w:val="000000"/>
                <w:sz w:val="18"/>
              </w:rPr>
              <w:t>5</w:t>
            </w:r>
          </w:p>
        </w:tc>
      </w:tr>
      <w:tr w:rsidR="00216541" w:rsidRPr="00D6283C" w14:paraId="5CA13DA6" w14:textId="77777777" w:rsidTr="00216541">
        <w:trPr>
          <w:trHeight w:val="26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A770" w14:textId="1A58C8B8" w:rsidR="00D6283C" w:rsidRPr="00D6283C" w:rsidRDefault="00D6283C" w:rsidP="00D6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Client connected to Li</w:t>
            </w:r>
            <w:r w:rsidR="00216541">
              <w:rPr>
                <w:rFonts w:ascii="Calibri" w:eastAsia="Times New Roman" w:hAnsi="Calibri" w:cs="Calibri"/>
                <w:color w:val="000000"/>
                <w:sz w:val="18"/>
              </w:rPr>
              <w:t>nk for housing referrals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341383F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817AA71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F29DED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</w:tr>
      <w:tr w:rsidR="00216541" w:rsidRPr="00D6283C" w14:paraId="39667FBE" w14:textId="77777777" w:rsidTr="00216541">
        <w:trPr>
          <w:trHeight w:val="26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FE1F" w14:textId="353B57BF" w:rsidR="00D6283C" w:rsidRPr="00674C58" w:rsidRDefault="00D6283C" w:rsidP="00D6283C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</w:rPr>
            </w:pPr>
            <w:r w:rsidRPr="00674C58">
              <w:rPr>
                <w:rFonts w:ascii="Calibri" w:eastAsia="Times New Roman" w:hAnsi="Calibri" w:cs="Calibri"/>
                <w:iCs/>
                <w:sz w:val="18"/>
              </w:rPr>
              <w:t>Length of time from progr</w:t>
            </w:r>
            <w:r w:rsidR="00216541" w:rsidRPr="00674C58">
              <w:rPr>
                <w:rFonts w:ascii="Calibri" w:eastAsia="Times New Roman" w:hAnsi="Calibri" w:cs="Calibri"/>
                <w:iCs/>
                <w:sz w:val="18"/>
              </w:rPr>
              <w:t>am enrollment to move 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D0FA58E" w14:textId="77777777" w:rsidR="00D6283C" w:rsidRPr="00674C58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</w:rPr>
            </w:pPr>
            <w:r w:rsidRPr="00674C58">
              <w:rPr>
                <w:rFonts w:ascii="Calibri" w:eastAsia="Times New Roman" w:hAnsi="Calibri" w:cs="Calibri"/>
                <w:iCs/>
                <w:sz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C4F1E90" w14:textId="77777777" w:rsidR="00D6283C" w:rsidRPr="00674C58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</w:rPr>
            </w:pPr>
            <w:r w:rsidRPr="00674C58">
              <w:rPr>
                <w:rFonts w:ascii="Calibri" w:eastAsia="Times New Roman" w:hAnsi="Calibri" w:cs="Calibri"/>
                <w:iCs/>
                <w:sz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545C52" w14:textId="6D260C54" w:rsidR="00D6283C" w:rsidRPr="00D6283C" w:rsidRDefault="00674C58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FF0000"/>
                <w:sz w:val="18"/>
              </w:rPr>
            </w:pPr>
            <w:r w:rsidRPr="00674C58">
              <w:rPr>
                <w:rFonts w:ascii="Calibri" w:eastAsia="Times New Roman" w:hAnsi="Calibri" w:cs="Calibri"/>
                <w:iCs/>
                <w:sz w:val="18"/>
              </w:rPr>
              <w:t>0</w:t>
            </w:r>
          </w:p>
        </w:tc>
      </w:tr>
      <w:tr w:rsidR="00216541" w:rsidRPr="00D6283C" w14:paraId="5E87C0E3" w14:textId="77777777" w:rsidTr="00216541">
        <w:trPr>
          <w:trHeight w:val="26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8094" w14:textId="77777777" w:rsidR="00D6283C" w:rsidRPr="00D6283C" w:rsidRDefault="00D6283C" w:rsidP="00D62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b/>
                <w:color w:val="000000"/>
                <w:sz w:val="18"/>
              </w:rPr>
              <w:t>TOTAL POINTS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B347E77" w14:textId="77777777" w:rsidR="00D6283C" w:rsidRPr="00D6283C" w:rsidRDefault="00D6283C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 w:rsidRPr="00D6283C">
              <w:rPr>
                <w:rFonts w:ascii="Calibri" w:eastAsia="Times New Roman" w:hAnsi="Calibri" w:cs="Calibri"/>
                <w:b/>
                <w:color w:val="000000"/>
                <w:sz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7E466C2" w14:textId="427BF633" w:rsidR="00D6283C" w:rsidRPr="00D6283C" w:rsidRDefault="00FE7EB4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046FDEA" w14:textId="190CC7B9" w:rsidR="00D6283C" w:rsidRPr="00D6283C" w:rsidRDefault="00674C58" w:rsidP="00D6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</w:rPr>
              <w:t>100</w:t>
            </w:r>
          </w:p>
        </w:tc>
      </w:tr>
    </w:tbl>
    <w:p w14:paraId="2771BE54" w14:textId="77777777" w:rsidR="00782153" w:rsidRPr="0016202B" w:rsidRDefault="00782153" w:rsidP="00BE46E2"/>
    <w:sectPr w:rsidR="00782153" w:rsidRPr="00162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28CFE" w14:textId="77777777" w:rsidR="00E64362" w:rsidRDefault="00E64362" w:rsidP="00E64362">
      <w:pPr>
        <w:spacing w:after="0" w:line="240" w:lineRule="auto"/>
      </w:pPr>
      <w:r>
        <w:separator/>
      </w:r>
    </w:p>
  </w:endnote>
  <w:endnote w:type="continuationSeparator" w:id="0">
    <w:p w14:paraId="55E50D59" w14:textId="77777777" w:rsidR="00E64362" w:rsidRDefault="00E64362" w:rsidP="00E6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5FB8" w14:textId="77777777" w:rsidR="00E64362" w:rsidRDefault="00E64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AEDB6" w14:textId="77777777" w:rsidR="00E64362" w:rsidRDefault="00E64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CA19A" w14:textId="77777777" w:rsidR="00E64362" w:rsidRDefault="00E64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3DD04" w14:textId="77777777" w:rsidR="00E64362" w:rsidRDefault="00E64362" w:rsidP="00E64362">
      <w:pPr>
        <w:spacing w:after="0" w:line="240" w:lineRule="auto"/>
      </w:pPr>
      <w:r>
        <w:separator/>
      </w:r>
    </w:p>
  </w:footnote>
  <w:footnote w:type="continuationSeparator" w:id="0">
    <w:p w14:paraId="34B17041" w14:textId="77777777" w:rsidR="00E64362" w:rsidRDefault="00E64362" w:rsidP="00E6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2A919" w14:textId="77777777" w:rsidR="00E64362" w:rsidRDefault="00E64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A22F" w14:textId="634C43C4" w:rsidR="00E64362" w:rsidRDefault="00E643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1FE6" w14:textId="77777777" w:rsidR="00E64362" w:rsidRDefault="00E64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1366"/>
    <w:multiLevelType w:val="hybridMultilevel"/>
    <w:tmpl w:val="E7A06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30594"/>
    <w:multiLevelType w:val="hybridMultilevel"/>
    <w:tmpl w:val="3DC2C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F72231"/>
    <w:multiLevelType w:val="hybridMultilevel"/>
    <w:tmpl w:val="D1067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C78F4"/>
    <w:multiLevelType w:val="hybridMultilevel"/>
    <w:tmpl w:val="90C42E38"/>
    <w:lvl w:ilvl="0" w:tplc="7A28BD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571FC"/>
    <w:multiLevelType w:val="hybridMultilevel"/>
    <w:tmpl w:val="3D3E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631CE"/>
    <w:multiLevelType w:val="hybridMultilevel"/>
    <w:tmpl w:val="E198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B3B8A"/>
    <w:multiLevelType w:val="hybridMultilevel"/>
    <w:tmpl w:val="BD760CE6"/>
    <w:lvl w:ilvl="0" w:tplc="7A28BD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67F4C"/>
    <w:multiLevelType w:val="hybridMultilevel"/>
    <w:tmpl w:val="C872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D2869"/>
    <w:multiLevelType w:val="hybridMultilevel"/>
    <w:tmpl w:val="2332AD10"/>
    <w:lvl w:ilvl="0" w:tplc="7A28BD1C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EE"/>
    <w:rsid w:val="00032618"/>
    <w:rsid w:val="00045079"/>
    <w:rsid w:val="00055EB8"/>
    <w:rsid w:val="000566CE"/>
    <w:rsid w:val="0016202B"/>
    <w:rsid w:val="00162CD1"/>
    <w:rsid w:val="001D7009"/>
    <w:rsid w:val="00216541"/>
    <w:rsid w:val="0027351B"/>
    <w:rsid w:val="002931F5"/>
    <w:rsid w:val="004036D6"/>
    <w:rsid w:val="00423469"/>
    <w:rsid w:val="00434C31"/>
    <w:rsid w:val="00463021"/>
    <w:rsid w:val="00484EEE"/>
    <w:rsid w:val="004D0FEE"/>
    <w:rsid w:val="00505A7A"/>
    <w:rsid w:val="00510090"/>
    <w:rsid w:val="005A2CAC"/>
    <w:rsid w:val="00612816"/>
    <w:rsid w:val="00665D8A"/>
    <w:rsid w:val="00674C58"/>
    <w:rsid w:val="006D78E8"/>
    <w:rsid w:val="006F4467"/>
    <w:rsid w:val="00782153"/>
    <w:rsid w:val="00860D47"/>
    <w:rsid w:val="00865B56"/>
    <w:rsid w:val="008A072C"/>
    <w:rsid w:val="008C48C8"/>
    <w:rsid w:val="009262D0"/>
    <w:rsid w:val="00972705"/>
    <w:rsid w:val="00981BCC"/>
    <w:rsid w:val="00A20B70"/>
    <w:rsid w:val="00A40A41"/>
    <w:rsid w:val="00AA50AC"/>
    <w:rsid w:val="00AC6859"/>
    <w:rsid w:val="00AF0DC6"/>
    <w:rsid w:val="00AF3D35"/>
    <w:rsid w:val="00B0715C"/>
    <w:rsid w:val="00BE46E2"/>
    <w:rsid w:val="00C91C05"/>
    <w:rsid w:val="00CA6D6D"/>
    <w:rsid w:val="00D6283C"/>
    <w:rsid w:val="00DD18DD"/>
    <w:rsid w:val="00E63DBB"/>
    <w:rsid w:val="00E64362"/>
    <w:rsid w:val="00E9713B"/>
    <w:rsid w:val="00EC77F1"/>
    <w:rsid w:val="00ED62BD"/>
    <w:rsid w:val="00FA7175"/>
    <w:rsid w:val="00FE6223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A8A6D2"/>
  <w15:chartTrackingRefBased/>
  <w15:docId w15:val="{00087D71-2293-416D-9F37-7DAC45CE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362"/>
  </w:style>
  <w:style w:type="paragraph" w:styleId="Footer">
    <w:name w:val="footer"/>
    <w:basedOn w:val="Normal"/>
    <w:link w:val="FooterChar"/>
    <w:uiPriority w:val="99"/>
    <w:unhideWhenUsed/>
    <w:rsid w:val="00E64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362"/>
  </w:style>
  <w:style w:type="table" w:styleId="TableGrid">
    <w:name w:val="Table Grid"/>
    <w:basedOn w:val="TableNormal"/>
    <w:uiPriority w:val="39"/>
    <w:rsid w:val="00C9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6B6FD-2BD2-44B8-BFAA-A13289AC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Halfhill, Andy</dc:creator>
  <cp:keywords/>
  <dc:description/>
  <cp:lastModifiedBy>Scherer, Hilary</cp:lastModifiedBy>
  <cp:revision>3</cp:revision>
  <cp:lastPrinted>2018-02-12T15:50:00Z</cp:lastPrinted>
  <dcterms:created xsi:type="dcterms:W3CDTF">2018-03-19T13:55:00Z</dcterms:created>
  <dcterms:modified xsi:type="dcterms:W3CDTF">2018-03-19T13:59:00Z</dcterms:modified>
</cp:coreProperties>
</file>